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1AD" w:rsidRDefault="008531AD" w:rsidP="008531AD">
      <w:pPr>
        <w:pStyle w:val="Titolo2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99FF"/>
          <w:sz w:val="32"/>
          <w:szCs w:val="32"/>
        </w:rPr>
        <w:t>NORMATIVA E LIMITI</w:t>
      </w:r>
    </w:p>
    <w:p w:rsidR="008531AD" w:rsidRDefault="008531AD" w:rsidP="008531AD">
      <w:pPr>
        <w:pStyle w:val="NormaleWeb"/>
        <w:jc w:val="center"/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/>
          <w:b/>
          <w:bCs/>
        </w:rPr>
        <w:t>D.Lgs</w:t>
      </w:r>
      <w:proofErr w:type="spellEnd"/>
      <w:r>
        <w:rPr>
          <w:rFonts w:ascii="Calibri" w:hAnsi="Calibri" w:cs="Calibri"/>
          <w:b/>
          <w:bCs/>
        </w:rPr>
        <w:t xml:space="preserve"> 155/2010 e </w:t>
      </w:r>
      <w:proofErr w:type="spellStart"/>
      <w:r>
        <w:rPr>
          <w:rFonts w:ascii="Calibri" w:hAnsi="Calibri" w:cs="Calibri"/>
          <w:b/>
          <w:bCs/>
        </w:rPr>
        <w:t>s.m.i.</w:t>
      </w:r>
      <w:proofErr w:type="spellEnd"/>
    </w:p>
    <w:p w:rsidR="008531AD" w:rsidRDefault="008531AD" w:rsidP="008531AD">
      <w:pPr>
        <w:pStyle w:val="NormaleWeb"/>
        <w:numPr>
          <w:ilvl w:val="0"/>
          <w:numId w:val="1"/>
        </w:numPr>
        <w:ind w:left="424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Allegato XI</w:t>
      </w:r>
    </w:p>
    <w:p w:rsidR="008531AD" w:rsidRPr="004F0ED9" w:rsidRDefault="008531AD" w:rsidP="008531AD">
      <w:pPr>
        <w:pStyle w:val="NormaleWeb"/>
        <w:numPr>
          <w:ilvl w:val="0"/>
          <w:numId w:val="1"/>
        </w:numPr>
        <w:ind w:left="424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Allegato XII</w:t>
      </w:r>
    </w:p>
    <w:p w:rsidR="008531AD" w:rsidRDefault="008531AD" w:rsidP="008531AD">
      <w:pPr>
        <w:pStyle w:val="NormaleWeb"/>
        <w:rPr>
          <w:b/>
          <w:bCs/>
          <w:i/>
          <w:iCs/>
          <w:sz w:val="28"/>
          <w:szCs w:val="28"/>
        </w:rPr>
      </w:pPr>
    </w:p>
    <w:p w:rsidR="008531AD" w:rsidRDefault="008531AD" w:rsidP="008531AD">
      <w:pPr>
        <w:pStyle w:val="NormaleWeb"/>
        <w:jc w:val="center"/>
        <w:rPr>
          <w:rStyle w:val="Enfasigrassetto"/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</w:rPr>
        <w:t>Limiti normativi per il biossido di azoto (NO</w:t>
      </w:r>
      <w:r>
        <w:rPr>
          <w:rFonts w:ascii="Calibri" w:hAnsi="Calibri" w:cs="Calibri"/>
          <w:b/>
          <w:bCs/>
          <w:i/>
          <w:iCs/>
          <w:vertAlign w:val="subscript"/>
        </w:rPr>
        <w:t>2</w:t>
      </w:r>
      <w:r>
        <w:rPr>
          <w:rFonts w:ascii="Calibri" w:hAnsi="Calibri" w:cs="Calibri"/>
          <w:b/>
          <w:bCs/>
          <w:i/>
          <w:iCs/>
        </w:rPr>
        <w:t>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3"/>
        <w:gridCol w:w="1714"/>
        <w:gridCol w:w="2218"/>
        <w:gridCol w:w="54"/>
      </w:tblGrid>
      <w:tr w:rsidR="008531AD" w:rsidTr="00101216">
        <w:trPr>
          <w:jc w:val="center"/>
        </w:trPr>
        <w:tc>
          <w:tcPr>
            <w:tcW w:w="28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99CCFF"/>
            <w:vAlign w:val="center"/>
          </w:tcPr>
          <w:p w:rsidR="008531AD" w:rsidRDefault="008531AD" w:rsidP="00101216">
            <w:pPr>
              <w:jc w:val="center"/>
              <w:rPr>
                <w:rStyle w:val="Enfasigrassetto"/>
                <w:rFonts w:ascii="Calibri" w:hAnsi="Calibri" w:cs="Calibri"/>
              </w:rPr>
            </w:pPr>
            <w:r>
              <w:rPr>
                <w:rStyle w:val="Enfasigrassetto"/>
                <w:rFonts w:ascii="Calibri" w:hAnsi="Calibri" w:cs="Calibri"/>
              </w:rPr>
              <w:t>Tipo di limite</w:t>
            </w:r>
          </w:p>
        </w:tc>
        <w:tc>
          <w:tcPr>
            <w:tcW w:w="171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99CCFF"/>
            <w:vAlign w:val="center"/>
          </w:tcPr>
          <w:p w:rsidR="008531AD" w:rsidRDefault="008531AD" w:rsidP="00101216">
            <w:pPr>
              <w:jc w:val="center"/>
              <w:rPr>
                <w:rStyle w:val="Enfasigrassetto"/>
                <w:rFonts w:ascii="Calibri" w:hAnsi="Calibri" w:cs="Calibri"/>
              </w:rPr>
            </w:pPr>
            <w:r>
              <w:rPr>
                <w:rStyle w:val="Enfasigrassetto"/>
                <w:rFonts w:ascii="Calibri" w:hAnsi="Calibri" w:cs="Calibri"/>
              </w:rPr>
              <w:t>Periodo di mediazione</w:t>
            </w:r>
          </w:p>
        </w:tc>
        <w:tc>
          <w:tcPr>
            <w:tcW w:w="22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99CCFF"/>
            <w:vAlign w:val="center"/>
          </w:tcPr>
          <w:p w:rsidR="008531AD" w:rsidRDefault="008531AD" w:rsidP="00101216">
            <w:pPr>
              <w:jc w:val="center"/>
              <w:rPr>
                <w:rStyle w:val="Enfasigrassetto"/>
                <w:rFonts w:ascii="Calibri" w:hAnsi="Calibri" w:cs="Calibri"/>
              </w:rPr>
            </w:pPr>
            <w:r>
              <w:rPr>
                <w:rStyle w:val="Enfasigrassetto"/>
                <w:rFonts w:ascii="Calibri" w:hAnsi="Calibri" w:cs="Calibri"/>
              </w:rPr>
              <w:t>Valore limite</w:t>
            </w:r>
          </w:p>
        </w:tc>
        <w:tc>
          <w:tcPr>
            <w:tcW w:w="54" w:type="dxa"/>
            <w:tcBorders>
              <w:left w:val="single" w:sz="8" w:space="0" w:color="808080"/>
            </w:tcBorders>
            <w:shd w:val="clear" w:color="auto" w:fill="auto"/>
          </w:tcPr>
          <w:p w:rsidR="008531AD" w:rsidRDefault="008531AD" w:rsidP="00101216">
            <w:pPr>
              <w:snapToGrid w:val="0"/>
            </w:pPr>
          </w:p>
        </w:tc>
      </w:tr>
      <w:tr w:rsidR="008531AD" w:rsidTr="00101216">
        <w:trPr>
          <w:jc w:val="center"/>
        </w:trPr>
        <w:tc>
          <w:tcPr>
            <w:tcW w:w="289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8531AD" w:rsidRDefault="008531AD" w:rsidP="00101216">
            <w:pPr>
              <w:jc w:val="center"/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</w:rPr>
              <w:t>Valore limite per la protezione della salute umana</w:t>
            </w:r>
          </w:p>
        </w:tc>
        <w:tc>
          <w:tcPr>
            <w:tcW w:w="171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8531AD" w:rsidRDefault="008531AD" w:rsidP="00101216">
            <w:pPr>
              <w:jc w:val="center"/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</w:rPr>
              <w:t>1 ora</w:t>
            </w:r>
          </w:p>
        </w:tc>
        <w:tc>
          <w:tcPr>
            <w:tcW w:w="221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8531AD" w:rsidRDefault="008531AD" w:rsidP="00101216">
            <w:pPr>
              <w:jc w:val="center"/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</w:rPr>
              <w:t>200 µg/m</w:t>
            </w:r>
            <w:r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  <w:vertAlign w:val="superscript"/>
              </w:rPr>
              <w:t>3</w:t>
            </w:r>
            <w:r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</w:rPr>
              <w:t xml:space="preserve"> da non superare più di 18 volte per anno civile   </w:t>
            </w:r>
          </w:p>
        </w:tc>
        <w:tc>
          <w:tcPr>
            <w:tcW w:w="54" w:type="dxa"/>
            <w:tcBorders>
              <w:left w:val="single" w:sz="8" w:space="0" w:color="808080"/>
            </w:tcBorders>
            <w:shd w:val="clear" w:color="auto" w:fill="auto"/>
          </w:tcPr>
          <w:p w:rsidR="008531AD" w:rsidRDefault="008531AD" w:rsidP="00101216">
            <w:pPr>
              <w:snapToGrid w:val="0"/>
              <w:ind w:left="193" w:firstLine="21"/>
            </w:pPr>
          </w:p>
        </w:tc>
      </w:tr>
      <w:tr w:rsidR="008531AD" w:rsidTr="00101216">
        <w:trPr>
          <w:jc w:val="center"/>
        </w:trPr>
        <w:tc>
          <w:tcPr>
            <w:tcW w:w="289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8531AD" w:rsidRDefault="008531AD" w:rsidP="00101216">
            <w:pPr>
              <w:jc w:val="center"/>
              <w:rPr>
                <w:rStyle w:val="Enfasigrassetto"/>
                <w:rFonts w:ascii="Calibri" w:hAnsi="Calibri" w:cs="Calibri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</w:rPr>
              <w:t>Valore limite per la protezione della salute umana</w:t>
            </w:r>
          </w:p>
        </w:tc>
        <w:tc>
          <w:tcPr>
            <w:tcW w:w="171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8531AD" w:rsidRDefault="008531AD" w:rsidP="00101216">
            <w:pPr>
              <w:jc w:val="center"/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Style w:val="Enfasigrassetto"/>
                <w:rFonts w:ascii="Calibri" w:hAnsi="Calibri" w:cs="Calibri"/>
                <w:b w:val="0"/>
                <w:bCs w:val="0"/>
                <w:color w:val="333333"/>
                <w:sz w:val="21"/>
                <w:szCs w:val="21"/>
              </w:rPr>
              <w:t>Anno civile</w:t>
            </w:r>
          </w:p>
        </w:tc>
        <w:tc>
          <w:tcPr>
            <w:tcW w:w="221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8531AD" w:rsidRDefault="008531AD" w:rsidP="00101216">
            <w:pPr>
              <w:jc w:val="center"/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</w:rPr>
              <w:t>40 µg/m</w:t>
            </w:r>
            <w:r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  <w:vertAlign w:val="superscript"/>
              </w:rPr>
              <w:t xml:space="preserve">3     </w:t>
            </w:r>
          </w:p>
        </w:tc>
        <w:tc>
          <w:tcPr>
            <w:tcW w:w="54" w:type="dxa"/>
            <w:tcBorders>
              <w:left w:val="single" w:sz="8" w:space="0" w:color="808080"/>
            </w:tcBorders>
            <w:shd w:val="clear" w:color="auto" w:fill="auto"/>
          </w:tcPr>
          <w:p w:rsidR="008531AD" w:rsidRDefault="008531AD" w:rsidP="00101216">
            <w:pPr>
              <w:snapToGrid w:val="0"/>
            </w:pPr>
          </w:p>
        </w:tc>
      </w:tr>
      <w:tr w:rsidR="008531AD" w:rsidTr="00101216">
        <w:trPr>
          <w:jc w:val="center"/>
        </w:trPr>
        <w:tc>
          <w:tcPr>
            <w:tcW w:w="289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8531AD" w:rsidRDefault="008531AD" w:rsidP="00101216">
            <w:pPr>
              <w:jc w:val="center"/>
              <w:rPr>
                <w:rStyle w:val="Enfasigrassetto"/>
                <w:rFonts w:ascii="Calibri" w:hAnsi="Calibri" w:cs="Calibri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</w:rPr>
              <w:t>Soglia di allarme</w:t>
            </w:r>
          </w:p>
        </w:tc>
        <w:tc>
          <w:tcPr>
            <w:tcW w:w="171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8531AD" w:rsidRDefault="008531AD" w:rsidP="00101216">
            <w:pPr>
              <w:spacing w:after="75"/>
              <w:ind w:right="-18"/>
              <w:jc w:val="center"/>
              <w:rPr>
                <w:rFonts w:ascii="Calibri" w:hAnsi="Calibri" w:cs="Calibri"/>
                <w:color w:val="333333"/>
                <w:sz w:val="21"/>
                <w:szCs w:val="21"/>
              </w:rPr>
            </w:pPr>
            <w:r>
              <w:rPr>
                <w:rStyle w:val="Enfasigrassetto"/>
                <w:rFonts w:ascii="Calibri" w:hAnsi="Calibri" w:cs="Calibri"/>
                <w:b w:val="0"/>
                <w:bCs w:val="0"/>
                <w:color w:val="333333"/>
                <w:sz w:val="21"/>
                <w:szCs w:val="21"/>
              </w:rPr>
              <w:t>1 ora</w:t>
            </w:r>
          </w:p>
          <w:p w:rsidR="008531AD" w:rsidRDefault="008531AD" w:rsidP="00101216">
            <w:pPr>
              <w:jc w:val="center"/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21"/>
                <w:szCs w:val="21"/>
              </w:rPr>
              <w:t>(valore misurato su 3 ore consecutive)</w:t>
            </w:r>
          </w:p>
        </w:tc>
        <w:tc>
          <w:tcPr>
            <w:tcW w:w="221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8531AD" w:rsidRDefault="008531AD" w:rsidP="00101216">
            <w:pPr>
              <w:jc w:val="center"/>
            </w:pPr>
            <w:r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</w:rPr>
              <w:t>400 µg/m</w:t>
            </w:r>
            <w:r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54" w:type="dxa"/>
            <w:tcBorders>
              <w:left w:val="single" w:sz="8" w:space="0" w:color="808080"/>
            </w:tcBorders>
            <w:shd w:val="clear" w:color="auto" w:fill="auto"/>
          </w:tcPr>
          <w:p w:rsidR="008531AD" w:rsidRDefault="008531AD" w:rsidP="00101216">
            <w:pPr>
              <w:snapToGrid w:val="0"/>
            </w:pPr>
          </w:p>
        </w:tc>
      </w:tr>
    </w:tbl>
    <w:p w:rsidR="008531AD" w:rsidRDefault="008531AD" w:rsidP="008531AD">
      <w:r>
        <w:rPr>
          <w:rStyle w:val="Enfasigrassetto"/>
          <w:rFonts w:ascii="Calibri" w:eastAsia="Calibri" w:hAnsi="Calibri" w:cs="Calibri"/>
          <w:b w:val="0"/>
          <w:bCs w:val="0"/>
          <w:sz w:val="21"/>
          <w:szCs w:val="21"/>
          <w:vertAlign w:val="superscript"/>
        </w:rPr>
        <w:t xml:space="preserve"> </w:t>
      </w:r>
    </w:p>
    <w:p w:rsidR="008531AD" w:rsidRDefault="008531AD" w:rsidP="008531AD"/>
    <w:p w:rsidR="008531AD" w:rsidRDefault="008531AD" w:rsidP="008531AD">
      <w:pPr>
        <w:pStyle w:val="Titolo2"/>
        <w:jc w:val="center"/>
      </w:pPr>
    </w:p>
    <w:p w:rsidR="008531AD" w:rsidRDefault="008531AD" w:rsidP="008531AD">
      <w:pPr>
        <w:pStyle w:val="Titolo2"/>
        <w:jc w:val="center"/>
        <w:rPr>
          <w:rStyle w:val="Enfasigrassetto"/>
          <w:rFonts w:ascii="Calibri" w:hAnsi="Calibri" w:cs="Calibri"/>
          <w:sz w:val="24"/>
          <w:szCs w:val="24"/>
        </w:rPr>
      </w:pPr>
      <w:r>
        <w:rPr>
          <w:rStyle w:val="Enfasigrassetto"/>
          <w:rFonts w:ascii="Calibri" w:hAnsi="Calibri" w:cs="Calibri"/>
          <w:i/>
          <w:iCs/>
          <w:sz w:val="24"/>
          <w:szCs w:val="24"/>
        </w:rPr>
        <w:t>Limiti normativi per gli ossidi di azoto (</w:t>
      </w:r>
      <w:proofErr w:type="spellStart"/>
      <w:r>
        <w:rPr>
          <w:rStyle w:val="Enfasigrassetto"/>
          <w:rFonts w:ascii="Calibri" w:hAnsi="Calibri" w:cs="Calibri"/>
          <w:i/>
          <w:iCs/>
          <w:sz w:val="24"/>
          <w:szCs w:val="24"/>
        </w:rPr>
        <w:t>NOx</w:t>
      </w:r>
      <w:proofErr w:type="spellEnd"/>
      <w:r>
        <w:rPr>
          <w:rStyle w:val="Enfasigrassetto"/>
          <w:rFonts w:ascii="Calibri" w:hAnsi="Calibri" w:cs="Calibri"/>
          <w:i/>
          <w:iCs/>
          <w:sz w:val="24"/>
          <w:szCs w:val="24"/>
        </w:rPr>
        <w:t>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53"/>
      </w:tblGrid>
      <w:tr w:rsidR="008531AD" w:rsidTr="00101216">
        <w:trPr>
          <w:trHeight w:val="654"/>
        </w:trPr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9CCFF"/>
            <w:vAlign w:val="center"/>
          </w:tcPr>
          <w:p w:rsidR="008531AD" w:rsidRDefault="008531AD" w:rsidP="00101216">
            <w:pPr>
              <w:jc w:val="center"/>
              <w:rPr>
                <w:rStyle w:val="Enfasigrassetto"/>
                <w:rFonts w:ascii="Calibri" w:hAnsi="Calibri" w:cs="Calibri"/>
              </w:rPr>
            </w:pPr>
            <w:r>
              <w:rPr>
                <w:rStyle w:val="Enfasigrassetto"/>
                <w:rFonts w:ascii="Calibri" w:hAnsi="Calibri" w:cs="Calibri"/>
              </w:rPr>
              <w:t>Tipo di limite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9CCFF"/>
            <w:vAlign w:val="center"/>
          </w:tcPr>
          <w:p w:rsidR="008531AD" w:rsidRDefault="008531AD" w:rsidP="00101216">
            <w:pPr>
              <w:jc w:val="center"/>
              <w:rPr>
                <w:rStyle w:val="Enfasigrassetto"/>
                <w:rFonts w:ascii="Calibri" w:hAnsi="Calibri" w:cs="Calibri"/>
              </w:rPr>
            </w:pPr>
            <w:r>
              <w:rPr>
                <w:rStyle w:val="Enfasigrassetto"/>
                <w:rFonts w:ascii="Calibri" w:hAnsi="Calibri" w:cs="Calibri"/>
              </w:rPr>
              <w:t>Periodo di mediazione</w:t>
            </w:r>
          </w:p>
        </w:tc>
        <w:tc>
          <w:tcPr>
            <w:tcW w:w="3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9CCFF"/>
            <w:vAlign w:val="center"/>
          </w:tcPr>
          <w:p w:rsidR="008531AD" w:rsidRDefault="008531AD" w:rsidP="00101216">
            <w:pPr>
              <w:jc w:val="center"/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Style w:val="Enfasigrassetto"/>
                <w:rFonts w:ascii="Calibri" w:hAnsi="Calibri" w:cs="Calibri"/>
              </w:rPr>
              <w:t>Valore limite</w:t>
            </w:r>
          </w:p>
        </w:tc>
      </w:tr>
      <w:tr w:rsidR="008531AD" w:rsidTr="00101216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31AD" w:rsidRDefault="008531AD" w:rsidP="00101216">
            <w:pPr>
              <w:jc w:val="center"/>
              <w:rPr>
                <w:rStyle w:val="Enfasigrassetto"/>
                <w:rFonts w:ascii="Calibri" w:hAnsi="Calibri" w:cs="Calibri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</w:rPr>
              <w:t>Livello critico per la protezione della vegetazione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31AD" w:rsidRDefault="008531AD" w:rsidP="00101216">
            <w:pPr>
              <w:jc w:val="center"/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</w:rPr>
            </w:pPr>
            <w:r>
              <w:rPr>
                <w:rStyle w:val="Enfasigrassetto"/>
                <w:rFonts w:ascii="Calibri" w:hAnsi="Calibri" w:cs="Calibri"/>
                <w:b w:val="0"/>
                <w:bCs w:val="0"/>
                <w:color w:val="333333"/>
                <w:sz w:val="21"/>
                <w:szCs w:val="21"/>
              </w:rPr>
              <w:t>Anno civile</w:t>
            </w:r>
          </w:p>
        </w:tc>
        <w:tc>
          <w:tcPr>
            <w:tcW w:w="3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531AD" w:rsidRDefault="008531AD" w:rsidP="00101216">
            <w:pPr>
              <w:jc w:val="center"/>
            </w:pPr>
            <w:r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</w:rPr>
              <w:t>30  µg/m</w:t>
            </w:r>
            <w:r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  <w:vertAlign w:val="superscript"/>
              </w:rPr>
              <w:t xml:space="preserve">3  </w:t>
            </w:r>
            <w:proofErr w:type="spellStart"/>
            <w:r>
              <w:rPr>
                <w:rStyle w:val="Enfasigrassetto"/>
                <w:rFonts w:ascii="Calibri" w:hAnsi="Calibri" w:cs="Calibri"/>
                <w:b w:val="0"/>
                <w:bCs w:val="0"/>
                <w:sz w:val="21"/>
                <w:szCs w:val="21"/>
              </w:rPr>
              <w:t>NOx</w:t>
            </w:r>
            <w:proofErr w:type="spellEnd"/>
          </w:p>
        </w:tc>
      </w:tr>
    </w:tbl>
    <w:p w:rsidR="008531AD" w:rsidRDefault="008531AD" w:rsidP="008531AD">
      <w:pPr>
        <w:pStyle w:val="a"/>
      </w:pPr>
    </w:p>
    <w:p w:rsidR="00B80D68" w:rsidRDefault="00B80D68">
      <w:bookmarkStart w:id="0" w:name="_GoBack"/>
      <w:bookmarkEnd w:id="0"/>
    </w:p>
    <w:sectPr w:rsidR="00B80D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AD"/>
    <w:rsid w:val="008531AD"/>
    <w:rsid w:val="00B8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4FAFA-180F-4417-9A76-2B021C33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31A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itolo2">
    <w:name w:val="heading 2"/>
    <w:basedOn w:val="Normale"/>
    <w:next w:val="Corpotesto"/>
    <w:link w:val="Titolo2Carattere"/>
    <w:qFormat/>
    <w:rsid w:val="008531AD"/>
    <w:pPr>
      <w:spacing w:before="280" w:after="280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531AD"/>
    <w:rPr>
      <w:rFonts w:ascii="Times New Roman" w:eastAsia="Times New Roman" w:hAnsi="Times New Roman" w:cs="Times New Roman"/>
      <w:b/>
      <w:bCs/>
      <w:kern w:val="1"/>
      <w:sz w:val="36"/>
      <w:szCs w:val="36"/>
      <w:lang w:eastAsia="zh-CN"/>
    </w:rPr>
  </w:style>
  <w:style w:type="character" w:styleId="Enfasigrassetto">
    <w:name w:val="Strong"/>
    <w:basedOn w:val="Carpredefinitoparagrafo"/>
    <w:qFormat/>
    <w:rsid w:val="008531AD"/>
    <w:rPr>
      <w:b/>
      <w:bCs/>
    </w:rPr>
  </w:style>
  <w:style w:type="paragraph" w:styleId="a">
    <w:basedOn w:val="Normale"/>
    <w:next w:val="Corpotesto"/>
    <w:rsid w:val="008531AD"/>
    <w:pPr>
      <w:spacing w:after="120"/>
    </w:pPr>
  </w:style>
  <w:style w:type="paragraph" w:styleId="NormaleWeb">
    <w:name w:val="Normal (Web)"/>
    <w:basedOn w:val="Normale"/>
    <w:rsid w:val="008531AD"/>
    <w:pPr>
      <w:spacing w:before="280" w:after="280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8531A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31AD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1</cp:revision>
  <dcterms:created xsi:type="dcterms:W3CDTF">2023-03-13T14:51:00Z</dcterms:created>
  <dcterms:modified xsi:type="dcterms:W3CDTF">2023-03-13T14:51:00Z</dcterms:modified>
</cp:coreProperties>
</file>